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identifying high-priority issues for senior reviewer escalation.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analyzing root cause and policy violations to inform decision-making and reduce repeat-issue investigation time.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200+ weekly cases to detect recurring fraud patterns, flagging anomalies early to prevent repeat issues and optimize investigation efficiency.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investigation findings, decisions, evidence notes, and corrective actions in audit-ready case records, maintaining accurate and transparent case history.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escalation; mapped TTPs to MITRE ATT&amp;CK and wrote PICERL incident report for FIRST.org.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VirusTotal API, AbuseIPDB, WHOIS, Telegram bot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URLScan.io, cross-referencing WHOIS, DNS, and SSL details for phishing analysis.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Implemented typosquatting (brand impersonation detection) domain detector generating character-substitution variants of brand domains and checking live DNS resolution for brand-impersonation analysis.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for live IOC enrichment, supporting bulk CSV input/output and OSINT enrichment via theHarvester for domain profiling.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