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routing high-risk claims to senior review within same-day SLA with no escalation omissions.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for policy violations and anomalous patterns across 200+ weekly cases; documented root-cause findings with supporting evidence for senior reviewer sign-off.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records capturing investigation rationale, policy evidence, and corrective actions, producing audit-ready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