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with 100% case resolution rate.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identified policy violations and anomalous patterns, with 95% accuracy in findings.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for recurring fraud patterns, flagged them early, reducing repeat-issue investigation time by 30%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recording investigation findings, decisions, evidence notes, and corrective actions, with 99% documentation accuracy.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