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reviewers, demonstrating investigative instincts central to SOC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security incident reporting &amp;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&amp; URLScan.io simultaneously; cross-references WHOIS registration age, DNS records, &amp;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&amp; includes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lateral movement, &amp; privilege escalation; mapped TTPs to MITRE ATT&amp;CK (T1110, T1078, T1059) &amp;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 with severity classification — reducing mean time to triage by automating repetitive L1 tasks.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&amp;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compliance monitoring, control testing, audit documentation, risk assessment, RCSA basics, vendor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ISO 27001 (concepts), NIST CSF, PCI-DSS, GDPR/PDPB, SOX/ITGC basics, compliance gap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 (pivot, VLOOKUP),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