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business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ensuring audit-readiness and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improved case resolution efficiency.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