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 to identify policy violations and anomalous patterns;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security incident reporting discipline.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&amp;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performed TCP/IP analysis in Wireshark to detect SYN scans, DNS tunnelling, and plaintext credential exposure.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&amp;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 simultaneously; cross-references WHOIS registration age.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enrichment; supports bulk CSV input/output for incident response workflows.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