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 and policy violations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anomalies and flagging them early to prevent repeat issues.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transparent case history.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vulnerabilities, including injection, auth, and SSRF; documented SQL injection exploit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NVD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