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&amp; policy eligibility, mirroring structured alert triage &amp;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&amp; anomalous patterns; escalated findings to senior reviewers, demonstrating investigative instincts central to SOC &amp;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&amp; corrective actions, establishing evidence chain-of-custody discipline required for security incident reporting &amp;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 API, AbuseIPDB, &amp; WHOIS to produce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&amp;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&amp; supports bulk CSV input/output for incident response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&amp; privilege escalation; mapped TTPs to MITRE ATT&amp;CK (T1110, T1078, T1059).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 script, VirusTotal API, &amp; Telegram notifications to reduce mean time to triage by automating repetitive L1 tasks.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&amp;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