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reducing repeat-issue investigation time and demonstrating proactive risk detection.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 for transparent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