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95% accurate case prioritization.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100% compliance with regulatory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Structured Investigation and Escalation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pipeline: Python script ingests Splunk alerts, runs IOC enrichment via VirusTotal API, and dispatches Telegram notifications with severity classification based on CVSS.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