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triage and escalation workflows, achieving a 98% on‑time triage completion rate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45 escalation tickets per week</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capturing investigation findings, evidence notes, and corrective actions, sustaining a 100% audit compliance score</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SOAR style detection pipeline: Python script ingests Splunk alerts, runs IOC enrichment via VirusTotal API and dispatches Telegram notifications with severity classification.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in a vendor neutral format used by enterprise SOCs and performed TCP/IP analysis in Wireshark to detect SYN scans, DNS tunnelling and plaintext credential exposure on unencrypted sessions.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 API threat intelligence pipeline: submits suspicious URLs and IPs to VirusTotal, AbuseIPDB and URLScan.io and cross references WHOIS registration age, DNS records and SSL details for phishing analysis.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 substitution variants of brand domains and checking live DNS resolution for brand impersonation analysis.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and supports bulk CSV input output for incident response workflows and includes OSINT enrichment via theHarvester for domain profiling.</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