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83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41" w:after="41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83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4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applying triage discipline to prioritize high-risk cases for senior reviewer escalation.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4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 through root cause analysis, and escalated findings to senior reviewers for timely decision-making.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4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documentation, recording investigation findings, decisions, evidence notes, and corrective actions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4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Identified recurring fraud patterns across case history and flagged them ahead of weekly review cycles, cutting repeat-issue re-investigation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41" w:after="4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83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Risk Analyst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risk, risk identification, risk prioritization, Python, VirusTotal API, AbuseIPDB, WHOIS, Telegram bot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4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multi-API threat intelligence pipeline: submits suspicious URLs/IPs to VirusTotal, AbuseIPDB, and URLScan.io; cross-references WHOIS registration age, DNS records, and SSL details for risk identification and analysis.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4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typosquatting domain detector generating character-substitution variants of brand domains and checking live DNS resolution for brand-impersonation risk analysis and control gap identification.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4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enabling analysts to submit URLs for live IOC enrichment; supports bulk CSV input/output for incident response workflows and includes OSINT enrichment via theHarvester for domain profiling and risk prioritization.</w:t>
      </w:r>
    </w:p>
    <w:p w14:paraId="50EFC0D0" w14:textId="77777777" w:rsidR="00F85316" w:rsidRDefault="00F85316">
      <w:pPr>
        <w:spacing w:before="41" w:after="41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Risk Analyst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risk, risk prioritization, Python, Bash, Nessus, OpenVAS, NVD API, FIRST.org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4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generated CVE reports classified by CVSS severity and EPSS context from the FIRST.org API for risk identification and control gap analysis.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4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that sends crafted HTTP requests to detect injection, broken auth, and SSRF vulnerabilities; documented SQL injection exploit and parameterised query remediation for risk mitigation and policy-based risk triage.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4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tracking evidence for risk prioritization and escalation priorities.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41" w:after="4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83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65" w:after="65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GRC &amp; Compliance: </w:t>
      </w:r>
      <w:r>
        <w:rPr>
          <w:rFonts w:ascii="Source Sans Pro" w:eastAsia="Source Sans Pro" w:hAnsi="Source Sans Pro" w:cs="Source Sans Pro"/>
          <w:sz w:val="19"/>
          <w:szCs w:val="19"/>
        </w:rPr>
        <w:t>NIST CSF, ISO 27001, PCI-DSS, GDPR/PDPB, SOX/ITGC, compliance monitoring</w:t>
      </w:r>
    </w:p>
    <w:p w14:paraId="7542F506" w14:textId="77777777" w:rsidR="00F85316" w:rsidRDefault="00000000">
      <w:pPr>
        <w:spacing w:before="65" w:after="65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Risk &amp; Audit: </w:t>
      </w:r>
      <w:r>
        <w:rPr>
          <w:rFonts w:ascii="Source Sans Pro" w:eastAsia="Source Sans Pro" w:hAnsi="Source Sans Pro" w:cs="Source Sans Pro"/>
          <w:sz w:val="19"/>
          <w:szCs w:val="19"/>
        </w:rPr>
        <w:t>Risk assessment, control testing, audit documentation, vendor risk, RCSA basics</w:t>
      </w:r>
    </w:p>
    <w:p w14:paraId="24BEE31D" w14:textId="77777777" w:rsidR="00F85316" w:rsidRDefault="00000000">
      <w:pPr>
        <w:spacing w:before="65" w:after="65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Fraud &amp; AML: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</w:t>
      </w:r>
    </w:p>
    <w:p w14:paraId="4A1B93A5" w14:textId="77777777" w:rsidR="00F85316" w:rsidRDefault="00000000">
      <w:pPr>
        <w:spacing w:before="65" w:after="65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Tools: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Excel, SQL (basic), TCP/IP basics</w:t>
      </w:r>
    </w:p>
    <w:p w14:paraId="1EFBFF0E" w14:textId="77777777" w:rsidR="00F85316" w:rsidRDefault="00000000">
      <w:pPr>
        <w:spacing w:before="65" w:after="65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Frameworks: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41" w:after="4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83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4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4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