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flagged early, reducing repeat-issue investigation time and risk exposure.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evidence, and corrective actions in audit-ready case records, maintaining accurate case history.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