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the structured alert triage &amp;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reviewers, demonstrating investigative instincts central to SOC &amp;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actions, establishing the evidence chain-of-custody discipline required for security incident reporting &amp;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&amp; URLScan.io simultaneously; cross-references WHOIS registration age, DNS records, &amp; SSL certificate details to produce a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that generates character-substitution variants of brand domains &amp; checks live DNS resolution — catches brand-impersonation attacks before they are reported to threat feeds.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&amp; receive structured threat reports in-chat; supports bulk CSV input/output for incident response workflows where analysts triage multiple URLs simultaneously.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(index=* failed | stats count by src_ip), lateral movement, &amp; privilege escalation; mapped TTPs to MITRE ATT&amp;CK (T1110, T1078, T1059) &amp;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 with severity classification — reducing mean time to triage by automating repetitive L1 tasks.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&amp; plaintext credential exposure on unencrypted sessions.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analysis, fraud triage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Chain, AML typologies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