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of cases escalated to senior reviewers within 24 hours.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resulting in a 25% reduction in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100% of cases meeting audit standards.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by 25% before escalation to senior reviewers.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