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policy violations and anomalous patterns, and escalated findings to senior reviewers, improving case quality and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and reducing repeat-issue investigation time before escalation, resulting in enhanced case triage efficiency.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