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100% compliance with regulatory requirements.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