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timely resolution and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uncovering policy violations and anomalous patterns to inform process improvements and prevent future occurrences.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flagging them early to minimize financial losses and optimize resource allocation.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findings, decisions, evidence notes, and corrective actions, maintaining a comprehensive record of case resolutions and process enhancements.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Designed automated vulnerability assessment pipeline integrating Nessus and OpenVAS REST APIs in Python, generating CVE reports with CVSS severity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deadlines (Critical=24hrs, High=7 days, Medium=30 days).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