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following structured workflows, for timely decision-making and efficient issue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leading to early detection and prevention of repeat issues.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root cause of seller claims, documenting investigation findings, decisions, evidence notes, and corrective actions in audit-ready case records, ensuring transparency and accountability.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 IOC data,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Integrated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exploit and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