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3" w:after="1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security risks and compliance issues.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analyzed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evidence notes, and corrective actions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cases, reducing repeat-issue investigation time before escalation and improving security posture.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escalation; mapped TTPs to MITRE ATT&amp;CK and wrote PICERL incident report for FIRST.org.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enterprise SOCs; analyzed TCP/IP traffic in Wireshark for SYN scans, DNS tunnelling, and plaintext credential exposure.</w:t>
      </w:r>
    </w:p>
    <w:p w14:paraId="50EFC0D0" w14:textId="77777777" w:rsidR="00F85316" w:rsidRDefault="00F85316">
      <w:pPr>
        <w:spacing w:before="13" w:after="13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vulnerabilities, documenting SQL injection exploit and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GuardDuty), cloud security posture</w:t>
      </w:r>
    </w:p>
    <w:p w14:paraId="1EFBFF0E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expressions, compliance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