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cyber threat intelligence pipeline: submits IOCs to VirusTotal, AbuseIPDB, and URLScan.io; cross-references WHOIS registration data, DNS records, and SSL certificate details for intelligence products.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tracked infrastructure and checking live DNS resolution for infrastructure-based threat hunting.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real-time IOC enrichment enabling analysts to process indicators at scale; supports bulk CSV input/output for threat intelligence workflows and includes OSINT enrichment via theHarvester for comprehensive domain attribution.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active directory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