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following structured workflows,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risk prioritization and compliance tracking.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notes, maintaining control evidence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and reducing repeat-issue investigation time before escalation, demonstrating risk mitigation and SLA discipline.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CVSS-based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