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vulnerability cases by severity and policy eligibility, mirroring the structured alert triage and escalation workflow used in VAPT.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vulnerabilities to identify policy violations and anomalous patterns; escalated findings to senior reviewers, demonstrating investigative instincts central to VAPT.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vulnerability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with remediation guidance.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 for patch compliance tracking.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 on unencrypted sessions.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Nmap scripting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