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network security events by severity and policy eligibility, following structured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seller claims, identified policy violations and anomalous patterns, and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for network security events.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time.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in vendor-neutral format;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response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