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95% of cases resolved within SLA.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actions, ensuring compliance tracking and decision trails for 100% of cases.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brand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 using Python, Telegram bot, and theHarvester for domain profiling, supporting bulk CSV input/output.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and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built delta-scan logic to flag new CVEs, and tracked remediation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