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 and escalating findings to senior reviewers for risk analysis.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seller claims, identified policy violations and anomalous patterns, and escalated findings to senior reviewers for technical analysis.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for risk tracking.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 for risk identification.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detector generating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vulnerabilities, including injection, auth, and SSRF; documented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analysis,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