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EY's structured audit methodology used in IT audit.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risk management.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IT audit and GRC.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and URLScan.io APIs; cross-referenced WHOIS registration age, DNS records,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and checking live DNS resolution — catches brand-impersonation attacks before they reach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enrichment; supports bulk CSV input/output for incident response workflows and includes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and prioritises by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GRC compliance monitoring, control testing, audit documentation, risk assessment, RCSA basics, vendor risk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ISO 27001 (concepts), NIST CSF, PCI-DSS, GDPR/PDPB, SOX/ITGC basics, compliance gap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screening, financial crime indicators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 (pivot, VLOOKUP),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