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for risk management and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applying secure coding principles to prevent repeat issues.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vulnerability assessment and remediation tracking.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escalation, and improving overall risk management.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vulnerabilities, documenting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for CVEs, and calculated remediation SLA deadlines (Critical=24hrs, High=7 days, Medium=30 days).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brute-force, lateral movement, and privilege escalation, mapping to MITRE ATT&amp;CK (T1110, T1078, T1059) and writing incident reports.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32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classification, reducing mean time to triage.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3" w:after="4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OWASP, API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