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reviewers, ensuring accurate and thorough case analysis.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early, reducing repeat-issue investigation time and risk exposure.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GRC Internship Experience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bot, audit-ready documentation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pipeline: submits suspicious data to VirusTotal, AbuseIPDB, and URLScan.io,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Generated control validation evidence for typosquatting detection: generates domain variants and checks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compliance tracking for Telegram bot interface: enables analysts to submit URLs for IOC enrichment, supports bulk CSV input/output for incident response, and includes OSINT enrichment via theHarvester.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GRC Internship Experience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API, compliance tracking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audit-ready documentation for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Mapped compliance tracking for OWASP Top 10 automated web checker: detects injection, auth, and SSRF vulnerabilities, documents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Validated automated scan scheduling using Bash and cron, building delta-scan logic to flag CVEs and track patch compliance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cyber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