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documented investigation findings, decisions, evidence notes, and corrective actions, maintaining audit-ready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requests; documented SQL injection exploit and remediation using parameterised queries.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 IOC data, and dispatches severity-classified notifications.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