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90% of repeat-issue investigation time reduced before escalation.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of case documentation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 by 85%.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