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them early to prevent repeat issues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Planview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audit trails for compliance tracking and threat intelligence pipeline that submits suspicious URLs/IPs to VirusTotal, AbuseIPDB, and URLScan.io,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compliance-ready case notes for decision trails: Implemented typosquatting detection, generating brand domain variants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Planview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Compliance tracking,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control evidence for compliance tracking: 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remediation for SQL injection.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compliance tracking evidence: Automated scan scheduling via Bash and cron, delta-scan logic for newly discovered CVEs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