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workflows; produced audit‑ready case notes for compliance tracking</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 of seller claims, identified policy violations and anomalous patterns, and escalated findings to senior reviewers for remediation decisions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investigation findings, decisions, evidence notes, and corrective actions in audit‑ready case files, establishing a verifiable control evidence repository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flagged early and reduced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multi-API threat intelligence pipeline that submits suspicious URLs and IPs to VirusTotal, AbuseIPDB and URLScan.io and cross-references WHOIS registration age, DNS records and SSL details for phishing analysis, producing a comprehensive intelligence pipeline.</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 impersonation analysis, delivering a typosquatting detector.</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and supports bulk CSV input output for incident response workflows and includes OSINT enrichment via theHarvester for domain profiling, resulting in an interactive Telegram bot interface.</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and generated CVE reports classified by CVSS severity and EPSS context from the FIRST.org API, creating a consolidated vulnerability report pipeline.</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and documented SQL injection exploit and parameterised query remediation, creating an automated OWASP checker.</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establishing an automated scan scheduler.</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