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35" w:after="3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high-risk cases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uncovering policy violations and anomalous patterns.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detect recurring fraud patterns, reducing repeat-issue investigation time before escalation.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capturing investigation findings, decisions, evidence notes, and corrective actions.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 using Python scripts and Splunk dashboards.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 using Python script that ingests Splunk alerts, runs IOC enrichment (threat intelligence) via VirusTotal API, and dispatches Telegram notifications with severity classification based on CVSS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 and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5" w:after="35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 using NVD API and Python scripts.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 using Bash scripts and web application documentation.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 using Nessus and OpenVAS reports.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