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50+ weekly inventory cases by severity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implemented data pattern analysis and anomaly flagging process for high-risk seller claims, resulting in 30% reduction in false positives and improved compliance with regulatory requirements.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management, policy,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