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with 100% case resolution rate.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resulting in 95% accurate decision-making.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spot recurring fraud patterns, reducing repeat-issue investigation time by 30%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seamless case escalation and review.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TTPs,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pipeline integrating Nessus and OpenVAS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vulnerabilities, including injection, auth, and SSRF;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