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outcomes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resulting in enhanced case efficiency and reduced risk exposure.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