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risk-based triage discipline to prioritize high-risk cases for senior reviewer escalation.</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through root cause analysis,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flagging them early to reduce repeat-issue investigation time before escalation and minimize risk exposure.</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