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workflows, with 100% of cases escalated to senior reviewers within 24 hours.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root cause of seller claims, identified policy violations and anomalous patterns, and escalated findings to senior reviewers, reducing repeat-issue investigation time by 30%.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investigation findings, decisions, evidence notes, and corrective actions in audit-ready case records, with 99% of records meeting senior reviewer quality standards.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cases, flagging them early and reducing repeat-issue investigation time by 25% before escalation to senior reviewers.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SOAR-style detection pipeline: Python script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(vendor-neutral format used by enterprise SOCs);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