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" w:after="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 and eligibility, building alert triage discipline for analyst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claim anomalies and policy violations with root cause analysis and escalation judgment.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 patterns to identify risk indicators and prioritize follow-up investigations.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findings and corrective actions in audit-ready notes for evidence-based reporting.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" w:after="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management,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" w:after="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