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and Audit Trail Evidence Creation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audit-ready documentation for compliance tracking: built multi-API threat intelligence pipeline that submits suspicious URLs/IPs to VirusTotal, AbuseIPDB, and URLScan.io, and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control validation and decision trails: 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Established compliance tracking and evidence completeness: deployed Telegram bot interface enabling analysts to submit URLs for live IOC enrichment, supports bulk CSV input/output for incident response workflows, and includes OSINT enrichment via theHarvester for domain profiling.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and Vulnerability Assessment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Generated compliance tracking evidence: built automated vulnerability assessment pipeline integrating Nessus and OpenVAS REST APIs in Python, and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control validation and remediation tracking: developed OWASP Top 10 automated web checker that sends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Established compliance tracking and patch compliance: automated scan scheduling via Bash and cron, and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