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escalating findings to senior reviewers for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enhanced case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evidence, and corrective actions in audit-ready case records, managing 50+ weekly cases.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