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compliance tracking and decision workflows, producing audit‑ready case logs.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to uncover root causes, identified policy violations and anomalous patterns, and escalated findings to senior reviewers, generating compliance escalation reports.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investigation findings, decisions, evidence notes, and corrective actions in audit‑ready case files, establishing a reliable control evidence repository.</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 multi-API threat intelligence pipeline in Python that submits suspicious URLs and IPs to VirusTotal, AbuseIPDB and URLScan.io and cross‑references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a typosquatting domain detector in Python that generates character‑substitution variants of brand domains and checks live DNS resolution for brand‑impersonation analysis.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a Telegram bot interface in Python that enables analysts to submit URLs for live IOC enrichment, supports bulk CSV input and output for incident response workflows and incorporates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an automated vulnerability assessment pipeline in Python that integrates Nessus and OpenVAS REST APIs, generates CVE reports classified by CVSS severity and adds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an OWASP Top 10 automated web checker in Python that sends crafted HTTP requests to detect injection, broken authentication and SSRF vulnerabilities and documents SQL injection exploit details with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with Bash and cron, created delta‑scan logic to flag newly discovered CVEs and organized patch compliance tracking evidence.</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