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escalation accuracy.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resulting in 95% case resolution rate.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cases, spotting recurring fraud patterns and flagging them early, reducing repeat-issue investigation time by 30%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maintaining 99% compliance with review standards.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URLScan.io, cross-referencing WHOIS, DNS,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