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patterns, and escalated findings to senior reviewers, driving informed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flagging them early and reducing repeat-issue investigation time before escalation, with a notable impact on efficiency.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capturing investigation findings, decisions, evidence notes, and corrective actions, ensuring transparency and accountability in case management.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