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4" w:after="4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3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decision-making and reduced issue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leading to improved case resolution and reduced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identify recurring fraud patterns, flagging them early to reduce repeat-issue investigation time before escalation, resulting in enhanced case efficiency and reduced risk.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recording investigation findings, decisions, evidence notes, and corrective actions, ensuring transparent and compliant case management, with 50+ weekly cases maintained at high standards.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4" w:after="4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3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Internships in Belgaum: Find 40 Best Cyber Security Intern Jobs in Belgaum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4" w:after="4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Internships in Belgaum: Find 40 Best Cyber Security Intern Jobs in Belgaum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4" w:after="4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3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8" w:after="2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8" w:after="2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8" w:after="2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8" w:after="2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8" w:after="2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4" w:after="4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3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