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prevent repeat-issue investigation time and ensure compliance with policy guidelines.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OpenFX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for compliance tracking, submitting suspicious URLs/IPs to VirusTotal, AbuseIPDB, and URLScan.io, and cross-referencing WHOIS, DNS, and SSL data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OpenFX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Validated compliance tracking by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and tracking remediation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