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following structured case triage and escalation workflows, resulting in timely case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reducing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audit-ready case notes, recording investigation findings, decisions, evidence notes, and corrective actions, ensuring compliance tracking and decision trails.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audit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