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applying triage discipline to prioritize high-risk cases.</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decision trails and compliance tracking.</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Operational Risk Data Analyst</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 risk identification, control gap analysis</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cross-referencing WHOIS registration age, DNS records, and SSL details for risk-based phishing analysis.</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risk assessment and control gap analysis.</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and risk identification.</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Operational Risk Data Analyst</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 risk prioritization, SLA discipline, remediation tracking</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 for risk-based vulnerability management.</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for risk mitigation.</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for risk prioritization and SLA discipline.</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9" w:after="5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9" w:after="5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9" w:after="5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