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driving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reducing repeat-issue investigation time before escalation and minimizing financial risk.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 to generate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vulnerabilities, including injection, auth, and SSRF, and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